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26</w:t>
      </w:r>
      <w:r>
        <w:rPr>
          <w:rFonts w:ascii="Times New Roman" w:eastAsia="Times New Roman" w:hAnsi="Times New Roman" w:cs="Times New Roman"/>
        </w:rPr>
        <w:t>82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200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Агзямова Р.В.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при секретаре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Гильмияровой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гражданское дело по исковом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муниципального имущества администрации города Нефтеюганска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</w:rPr>
        <w:t>Глотовой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Галине Петровне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договорной неустойки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 194-</w:t>
      </w:r>
      <w:r>
        <w:rPr>
          <w:rFonts w:ascii="Times New Roman" w:eastAsia="Times New Roman" w:hAnsi="Times New Roman" w:cs="Times New Roman"/>
          <w:sz w:val="28"/>
          <w:szCs w:val="28"/>
        </w:rPr>
        <w:t>199 Гражданского процессуального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 Е Ш И Л:</w:t>
      </w:r>
    </w:p>
    <w:p>
      <w:pPr>
        <w:spacing w:before="0" w:after="0"/>
        <w:jc w:val="center"/>
        <w:rPr>
          <w:sz w:val="8"/>
          <w:szCs w:val="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Исковые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муниципального имущества администрации города Нефтеюганска к </w:t>
      </w:r>
      <w:r>
        <w:rPr>
          <w:rFonts w:ascii="Times New Roman" w:eastAsia="Times New Roman" w:hAnsi="Times New Roman" w:cs="Times New Roman"/>
          <w:sz w:val="28"/>
          <w:szCs w:val="28"/>
        </w:rPr>
        <w:t>Глотовой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Галине Петровне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договорной неустойки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частично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Взыскать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Глотовой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Галин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Петровн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Style w:val="cat-PassportDatagrp-16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18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19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17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пользу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муниципального имущества администрации города Нефтеюганска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 </w:t>
      </w:r>
      <w:r>
        <w:rPr>
          <w:rFonts w:ascii="Times New Roman" w:eastAsia="Times New Roman" w:hAnsi="Times New Roman" w:cs="Times New Roman"/>
          <w:sz w:val="28"/>
          <w:szCs w:val="28"/>
        </w:rPr>
        <w:t>860</w:t>
      </w:r>
      <w:r>
        <w:rPr>
          <w:rFonts w:ascii="Times New Roman" w:eastAsia="Times New Roman" w:hAnsi="Times New Roman" w:cs="Times New Roman"/>
          <w:sz w:val="28"/>
          <w:szCs w:val="28"/>
        </w:rPr>
        <w:t>4029014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неустойку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нарушение пункта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договора мены жилых помещений от </w:t>
      </w:r>
      <w:r>
        <w:rPr>
          <w:rFonts w:ascii="Times New Roman" w:eastAsia="Times New Roman" w:hAnsi="Times New Roman" w:cs="Times New Roman"/>
          <w:sz w:val="28"/>
          <w:szCs w:val="28"/>
        </w:rPr>
        <w:t>13.02.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07.03.2024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</w:rPr>
        <w:t>09.04.2024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000 рублей.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Взыскать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Глотовой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Галин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Петровн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sz w:val="28"/>
          <w:szCs w:val="28"/>
        </w:rPr>
        <w:t>в доход бюджета города Нефтеюганска государственную пошлину в размере 4000 рублей.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 остальной части исковых требований отказать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течение месяца со дня принятия решения суда в окончательной форме в апелляционном порядке в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Ханты-Мансийского автономного округа – Югры с подачей жалобы через мирового судью, принявшего решение.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Лица, участвующие в деле, их представители могут обратиться к мировому судье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Р.В. Агзямова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6rplc-10">
    <w:name w:val="cat-PassportData grp-16 rplc-10"/>
    <w:basedOn w:val="DefaultParagraphFont"/>
  </w:style>
  <w:style w:type="character" w:customStyle="1" w:styleId="cat-ExternalSystemDefinedgrp-18rplc-11">
    <w:name w:val="cat-ExternalSystemDefined grp-18 rplc-11"/>
    <w:basedOn w:val="DefaultParagraphFont"/>
  </w:style>
  <w:style w:type="character" w:customStyle="1" w:styleId="cat-ExternalSystemDefinedgrp-19rplc-12">
    <w:name w:val="cat-ExternalSystemDefined grp-19 rplc-12"/>
    <w:basedOn w:val="DefaultParagraphFont"/>
  </w:style>
  <w:style w:type="character" w:customStyle="1" w:styleId="cat-ExternalSystemDefinedgrp-17rplc-13">
    <w:name w:val="cat-ExternalSystemDefined grp-17 rplc-13"/>
    <w:basedOn w:val="DefaultParagraphFont"/>
  </w:style>
  <w:style w:type="character" w:customStyle="1" w:styleId="cat-UserDefinedgrp-20rplc-23">
    <w:name w:val="cat-UserDefined grp-20 rplc-23"/>
    <w:basedOn w:val="DefaultParagraphFont"/>
  </w:style>
  <w:style w:type="character" w:customStyle="1" w:styleId="cat-UserDefinedgrp-21rplc-26">
    <w:name w:val="cat-UserDefined grp-21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